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031A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F7031A">
      <w:pPr>
        <w:pStyle w:val="ConsPlusNormal"/>
        <w:jc w:val="both"/>
        <w:outlineLvl w:val="0"/>
      </w:pPr>
    </w:p>
    <w:p w:rsidR="00000000" w:rsidRDefault="00F7031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F7031A">
      <w:pPr>
        <w:pStyle w:val="ConsPlusNormal"/>
        <w:jc w:val="center"/>
        <w:rPr>
          <w:b/>
          <w:bCs/>
        </w:rPr>
      </w:pPr>
    </w:p>
    <w:p w:rsidR="00000000" w:rsidRDefault="00F7031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F7031A">
      <w:pPr>
        <w:pStyle w:val="ConsPlusNormal"/>
        <w:jc w:val="center"/>
        <w:rPr>
          <w:b/>
          <w:bCs/>
        </w:rPr>
      </w:pPr>
      <w:r>
        <w:rPr>
          <w:b/>
          <w:bCs/>
        </w:rPr>
        <w:t>от 23 июля 2020 г. N 1095</w:t>
      </w:r>
    </w:p>
    <w:p w:rsidR="00000000" w:rsidRDefault="00F7031A">
      <w:pPr>
        <w:pStyle w:val="ConsPlusNormal"/>
        <w:jc w:val="center"/>
        <w:rPr>
          <w:b/>
          <w:bCs/>
        </w:rPr>
      </w:pPr>
    </w:p>
    <w:p w:rsidR="00000000" w:rsidRDefault="00F7031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ФЕДЕРАЛЬНОГО СТАНДАРТА</w:t>
      </w:r>
    </w:p>
    <w:p w:rsidR="00000000" w:rsidRDefault="00F7031A">
      <w:pPr>
        <w:pStyle w:val="ConsPlusNormal"/>
        <w:jc w:val="center"/>
        <w:rPr>
          <w:b/>
          <w:bCs/>
        </w:rPr>
      </w:pPr>
      <w:r>
        <w:rPr>
          <w:b/>
          <w:bCs/>
        </w:rPr>
        <w:t>ВНУТРЕННЕГО ГОСУДАРСТВЕННОГО (МУНИЦИПАЛЬНОГО) ФИНАНСОВОГО</w:t>
      </w:r>
    </w:p>
    <w:p w:rsidR="00000000" w:rsidRDefault="00F7031A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КОНТРОЛЯ "РЕАЛИЗАЦИЯ РЕЗУЛЬТАТОВ ПРОВЕРОК,</w:t>
      </w:r>
    </w:p>
    <w:p w:rsidR="00000000" w:rsidRDefault="00F7031A">
      <w:pPr>
        <w:pStyle w:val="ConsPlusNormal"/>
        <w:jc w:val="center"/>
        <w:rPr>
          <w:b/>
          <w:bCs/>
        </w:rPr>
      </w:pPr>
      <w:r>
        <w:rPr>
          <w:b/>
          <w:bCs/>
        </w:rPr>
        <w:t>РЕВИЗИЙ И ОБСЛЕДОВАНИЙ"</w:t>
      </w:r>
    </w:p>
    <w:p w:rsidR="00000000" w:rsidRDefault="00F7031A">
      <w:pPr>
        <w:pStyle w:val="ConsPlusNormal"/>
        <w:ind w:firstLine="540"/>
        <w:jc w:val="both"/>
      </w:pPr>
    </w:p>
    <w:p w:rsidR="00000000" w:rsidRDefault="00F7031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</w:t>
        </w:r>
        <w:r>
          <w:rPr>
            <w:color w:val="0000FF"/>
          </w:rPr>
          <w:t>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 xml:space="preserve">1. Утвердить прилагаемый федеральный </w:t>
      </w:r>
      <w:hyperlink w:anchor="Par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"Реализация результатов</w:t>
      </w:r>
      <w:r>
        <w:t xml:space="preserve"> проверок, ревизий и обследований" (далее - стандарт).</w:t>
      </w:r>
    </w:p>
    <w:p w:rsidR="00000000" w:rsidRDefault="00F7031A">
      <w:pPr>
        <w:pStyle w:val="ConsPlusNormal"/>
        <w:spacing w:before="160"/>
        <w:ind w:firstLine="540"/>
        <w:jc w:val="both"/>
      </w:pPr>
      <w:bookmarkStart w:id="0" w:name="Par13"/>
      <w:bookmarkEnd w:id="0"/>
      <w:r>
        <w:t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</w:t>
      </w:r>
      <w:r>
        <w:t xml:space="preserve">вления, за исключением </w:t>
      </w:r>
      <w:hyperlink w:anchor="Par91" w:history="1">
        <w:r>
          <w:rPr>
            <w:color w:val="0000FF"/>
          </w:rPr>
          <w:t>пункта 18</w:t>
        </w:r>
      </w:hyperlink>
      <w:r>
        <w:t xml:space="preserve"> стандарта, который вступает в силу с 1 января 2021 г.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 xml:space="preserve">3. Установить, что до вступления в силу </w:t>
      </w:r>
      <w:hyperlink w:anchor="Par91" w:history="1">
        <w:r>
          <w:rPr>
            <w:color w:val="0000FF"/>
          </w:rPr>
          <w:t>пункта 18</w:t>
        </w:r>
      </w:hyperlink>
      <w:r>
        <w:t xml:space="preserve"> стандарта органы внутреннего государственного (муниципального) финансовог</w:t>
      </w:r>
      <w:r>
        <w:t xml:space="preserve">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ar91" w:history="1">
        <w:r>
          <w:rPr>
            <w:color w:val="0000FF"/>
          </w:rPr>
          <w:t>пункта</w:t>
        </w:r>
      </w:hyperlink>
      <w:r>
        <w:t xml:space="preserve"> стандарта.</w:t>
      </w:r>
    </w:p>
    <w:p w:rsidR="00000000" w:rsidRDefault="00F7031A">
      <w:pPr>
        <w:pStyle w:val="ConsPlusNormal"/>
        <w:ind w:firstLine="540"/>
        <w:jc w:val="both"/>
      </w:pPr>
    </w:p>
    <w:p w:rsidR="00000000" w:rsidRDefault="00F7031A">
      <w:pPr>
        <w:pStyle w:val="ConsPlusNormal"/>
        <w:jc w:val="right"/>
      </w:pPr>
      <w:r>
        <w:t>Председатель Правительства</w:t>
      </w:r>
    </w:p>
    <w:p w:rsidR="00000000" w:rsidRDefault="00F7031A">
      <w:pPr>
        <w:pStyle w:val="ConsPlusNormal"/>
        <w:jc w:val="right"/>
      </w:pPr>
      <w:r>
        <w:t>Российской Федерации</w:t>
      </w:r>
    </w:p>
    <w:p w:rsidR="00000000" w:rsidRDefault="00F7031A">
      <w:pPr>
        <w:pStyle w:val="ConsPlusNormal"/>
        <w:jc w:val="right"/>
      </w:pPr>
      <w:r>
        <w:t>М.МИШ</w:t>
      </w:r>
      <w:r>
        <w:t>УСТИН</w:t>
      </w:r>
    </w:p>
    <w:p w:rsidR="00000000" w:rsidRDefault="00F7031A">
      <w:pPr>
        <w:pStyle w:val="ConsPlusNormal"/>
        <w:ind w:firstLine="540"/>
        <w:jc w:val="both"/>
      </w:pPr>
    </w:p>
    <w:p w:rsidR="00000000" w:rsidRDefault="00F7031A">
      <w:pPr>
        <w:pStyle w:val="ConsPlusNormal"/>
        <w:ind w:firstLine="540"/>
        <w:jc w:val="both"/>
      </w:pPr>
    </w:p>
    <w:p w:rsidR="00000000" w:rsidRDefault="00F7031A">
      <w:pPr>
        <w:pStyle w:val="ConsPlusNormal"/>
        <w:ind w:firstLine="540"/>
        <w:jc w:val="both"/>
      </w:pPr>
    </w:p>
    <w:p w:rsidR="00000000" w:rsidRDefault="00F7031A">
      <w:pPr>
        <w:pStyle w:val="ConsPlusNormal"/>
        <w:ind w:firstLine="540"/>
        <w:jc w:val="both"/>
      </w:pPr>
    </w:p>
    <w:p w:rsidR="00000000" w:rsidRDefault="00F7031A">
      <w:pPr>
        <w:pStyle w:val="ConsPlusNormal"/>
        <w:ind w:firstLine="540"/>
        <w:jc w:val="both"/>
      </w:pPr>
    </w:p>
    <w:p w:rsidR="00000000" w:rsidRDefault="00F7031A">
      <w:pPr>
        <w:pStyle w:val="ConsPlusNormal"/>
        <w:jc w:val="right"/>
        <w:outlineLvl w:val="0"/>
      </w:pPr>
      <w:r>
        <w:t>Утвержден</w:t>
      </w:r>
    </w:p>
    <w:p w:rsidR="00000000" w:rsidRDefault="00F7031A">
      <w:pPr>
        <w:pStyle w:val="ConsPlusNormal"/>
        <w:jc w:val="right"/>
      </w:pPr>
      <w:r>
        <w:t>постановлением Правительства</w:t>
      </w:r>
    </w:p>
    <w:p w:rsidR="00000000" w:rsidRDefault="00F7031A">
      <w:pPr>
        <w:pStyle w:val="ConsPlusNormal"/>
        <w:jc w:val="right"/>
      </w:pPr>
      <w:r>
        <w:t>Российской Федерации</w:t>
      </w:r>
    </w:p>
    <w:p w:rsidR="00000000" w:rsidRDefault="00F7031A">
      <w:pPr>
        <w:pStyle w:val="ConsPlusNormal"/>
        <w:jc w:val="right"/>
      </w:pPr>
      <w:r>
        <w:t>от 23 июля 2020 г. N 1095</w:t>
      </w:r>
    </w:p>
    <w:p w:rsidR="00000000" w:rsidRDefault="00F7031A">
      <w:pPr>
        <w:pStyle w:val="ConsPlusNormal"/>
        <w:ind w:firstLine="540"/>
        <w:jc w:val="both"/>
      </w:pPr>
    </w:p>
    <w:p w:rsidR="00000000" w:rsidRDefault="00F7031A">
      <w:pPr>
        <w:pStyle w:val="ConsPlusNormal"/>
        <w:jc w:val="center"/>
        <w:rPr>
          <w:b/>
          <w:bCs/>
        </w:rPr>
      </w:pPr>
      <w:bookmarkStart w:id="1" w:name="Par29"/>
      <w:bookmarkEnd w:id="1"/>
      <w:r>
        <w:rPr>
          <w:b/>
          <w:bCs/>
        </w:rPr>
        <w:t>ФЕДЕРАЛЬНЫЙ СТАНДАРТ</w:t>
      </w:r>
    </w:p>
    <w:p w:rsidR="00000000" w:rsidRDefault="00F7031A">
      <w:pPr>
        <w:pStyle w:val="ConsPlusNormal"/>
        <w:jc w:val="center"/>
        <w:rPr>
          <w:b/>
          <w:bCs/>
        </w:rPr>
      </w:pPr>
      <w:r>
        <w:rPr>
          <w:b/>
          <w:bCs/>
        </w:rPr>
        <w:t>ВНУТРЕННЕГО ГОСУДАРСТВЕННОГО (МУНИЦИПАЛЬНОГО) ФИНАНСОВОГО</w:t>
      </w:r>
    </w:p>
    <w:p w:rsidR="00000000" w:rsidRDefault="00F7031A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КОНТРОЛЯ "РЕАЛИЗАЦИЯ РЕЗУЛЬТАТОВ ПРОВЕРОК,</w:t>
      </w:r>
    </w:p>
    <w:p w:rsidR="00000000" w:rsidRDefault="00F7031A">
      <w:pPr>
        <w:pStyle w:val="ConsPlusNormal"/>
        <w:jc w:val="center"/>
        <w:rPr>
          <w:b/>
          <w:bCs/>
        </w:rPr>
      </w:pPr>
      <w:r>
        <w:rPr>
          <w:b/>
          <w:bCs/>
        </w:rPr>
        <w:t>РЕВИЗИЙ И ОБСЛЕДОВАНИЙ"</w:t>
      </w:r>
    </w:p>
    <w:p w:rsidR="00000000" w:rsidRDefault="00F7031A">
      <w:pPr>
        <w:pStyle w:val="ConsPlusNormal"/>
        <w:ind w:firstLine="540"/>
        <w:jc w:val="both"/>
      </w:pPr>
    </w:p>
    <w:p w:rsidR="00000000" w:rsidRDefault="00F7031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000000" w:rsidRDefault="00F7031A">
      <w:pPr>
        <w:pStyle w:val="ConsPlusNormal"/>
        <w:ind w:firstLine="540"/>
        <w:jc w:val="both"/>
      </w:pPr>
    </w:p>
    <w:p w:rsidR="00000000" w:rsidRDefault="00F7031A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правил реализации результатов прове</w:t>
      </w:r>
      <w:r>
        <w:t>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</w:t>
      </w:r>
      <w:r>
        <w:t>го) финансового контроля (далее - орган контроля);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порядка продления срока исполнения представления (предписания) органа контроля.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2. Документы, оформляемые в целях реализации результатов контрольного мероприятия, предусматривающие требования к объекту вну</w:t>
      </w:r>
      <w:r>
        <w:t>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</w:t>
      </w:r>
      <w:r>
        <w:t>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Документы, оформляемые в целях реализации результатов контрольного мероприятия, и информация, по</w:t>
      </w:r>
      <w:r>
        <w:t>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3. Производство по делам об административных правона</w:t>
      </w:r>
      <w:r>
        <w:t>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000000" w:rsidRDefault="00F7031A">
      <w:pPr>
        <w:pStyle w:val="ConsPlusNormal"/>
        <w:ind w:firstLine="540"/>
        <w:jc w:val="both"/>
      </w:pPr>
    </w:p>
    <w:p w:rsidR="00000000" w:rsidRDefault="00F7031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Реализация результатов контрольного мероприятия</w:t>
      </w:r>
    </w:p>
    <w:p w:rsidR="00000000" w:rsidRDefault="00F7031A">
      <w:pPr>
        <w:pStyle w:val="ConsPlusNormal"/>
        <w:ind w:firstLine="540"/>
        <w:jc w:val="both"/>
      </w:pPr>
    </w:p>
    <w:p w:rsidR="00000000" w:rsidRDefault="00F7031A">
      <w:pPr>
        <w:pStyle w:val="ConsPlusNormal"/>
        <w:ind w:firstLine="540"/>
        <w:jc w:val="both"/>
      </w:pPr>
      <w:r>
        <w:t>4. Акт прове</w:t>
      </w:r>
      <w:r>
        <w:t>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</w:t>
      </w:r>
      <w:r>
        <w:t>есколько решений: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о наличии или об отсутствии оснований для направления представления и (или) предписания объекту контроля;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lastRenderedPageBreak/>
        <w:t>о наличии или об отсутствии оснований для направления информации в правоохранительные органы, органы прокуратуры и иные государствен</w:t>
      </w:r>
      <w:r>
        <w:t>ные (муниципальные) органы;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письменных возражений от объекта контро</w:t>
      </w:r>
      <w:r>
        <w:t>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признаков нарушений, которые не могут в полной мере быть подтверждены в рамках проведенной</w:t>
      </w:r>
      <w:r>
        <w:t xml:space="preserve"> проверки (ревизии).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</w:t>
      </w:r>
      <w:r>
        <w:t>льтатам которого может быть принято решение о проведении внеплановой выездной проверки (ревизии).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</w:t>
      </w:r>
      <w:r>
        <w:t>0 рабочих дней со дня подписания акта, заключения.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По результатам по</w:t>
      </w:r>
      <w:r>
        <w:t>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Порядок рассмотрения акта, заключения и иных матери</w:t>
      </w:r>
      <w:r>
        <w:t>алов контрольного мероприятия может быть установлен ведомственным стандартом органа контроля.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7. 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</w:t>
      </w:r>
      <w:r>
        <w:t>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</w:t>
      </w:r>
      <w:r>
        <w:t>ы и иные государственные (муниципальные) органы должностные лица органа контроля, ответственные за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представлени</w:t>
      </w:r>
      <w:r>
        <w:t>я и (или) предписания объекту контроля;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информации в правоохранительные органы, органы прокуратуры и иные государственные (муниципальные) органы.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8. Орган контроля направляет объекту контроля представление не позднее 10 рабочих дней со дня принятия решения</w:t>
      </w:r>
      <w:r>
        <w:t xml:space="preserve"> о его направлении.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одновременно с представлением в случае невозможности устранения нарушения;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в срок не</w:t>
      </w:r>
      <w:r>
        <w:t xml:space="preserve">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10. Одновременно с направлением объекту контроля представления, предписания</w:t>
      </w:r>
      <w:r>
        <w:t xml:space="preserve"> орган контроля в порядке, установленном ведомственным стандартом органа контроля, направляет их копии: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органу исполнительн</w:t>
      </w:r>
      <w:r>
        <w:t>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 xml:space="preserve">11. В представлении помимо требований, предусмотренных </w:t>
      </w:r>
      <w:hyperlink r:id="rId6" w:history="1">
        <w:r>
          <w:rPr>
            <w:color w:val="0000FF"/>
          </w:rPr>
          <w:t>пунктом 2 статьи 270.2</w:t>
        </w:r>
      </w:hyperlink>
      <w:r>
        <w:t xml:space="preserve"> Бюджетного кодекса Российской Федерации, указываются: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объект контроля, тема проверки (ревизии), проверенный</w:t>
      </w:r>
      <w:r>
        <w:t xml:space="preserve"> период;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основания проведения проверки (ревизии), реквизиты акта проверки (ревизии);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</w:t>
      </w:r>
      <w:r>
        <w:t>рушениями;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 xml:space="preserve">12. В предписании помимо требований, предусмотренных </w:t>
      </w:r>
      <w:hyperlink r:id="rId7" w:history="1">
        <w:r>
          <w:rPr>
            <w:color w:val="0000FF"/>
          </w:rPr>
          <w:t>пунктом 3 статьи 270.2</w:t>
        </w:r>
      </w:hyperlink>
      <w:r>
        <w:t xml:space="preserve"> Бюджетного кодекса Росс</w:t>
      </w:r>
      <w:r>
        <w:t>ийской Федерации, указываются: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объект контроля, тема проверки (ревизии), проверенный период;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lastRenderedPageBreak/>
        <w:t>сумма ущерб</w:t>
      </w:r>
      <w:r>
        <w:t>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требование о принятии объектом контроля мер по возмещению причиненного ущерба публично-правовому образовани</w:t>
      </w:r>
      <w:r>
        <w:t>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</w:t>
      </w:r>
      <w:r>
        <w:t>чившим, и (или) виновным должностным лицам и осуществление претензионно-исковой работы;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13. Контроль</w:t>
      </w:r>
      <w:r>
        <w:t xml:space="preserve">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</w:t>
      </w:r>
      <w:r>
        <w:t>основании информации, поступающей от объекта контроля в соответствии с представлением (предписанием).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</w:t>
      </w:r>
      <w:r>
        <w:t>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Указанные в предписании требования о возмещении ущерба, при</w:t>
      </w:r>
      <w:r>
        <w:t>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15. Неисполнение представления или</w:t>
      </w:r>
      <w:r>
        <w:t xml:space="preserve">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Неиспол</w:t>
      </w:r>
      <w:r>
        <w:t>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</w:t>
      </w:r>
      <w:r>
        <w:t>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В случае неисполнения предписания Федеральное казначейство (территориальный орган Федерального казначейства), г</w:t>
      </w:r>
      <w:r>
        <w:t>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</w:t>
      </w:r>
      <w:r>
        <w:t>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16. Обжалование представлений и предписаний органа контроля осуществляется: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 xml:space="preserve">в досудебном порядке в соответствии </w:t>
      </w:r>
      <w:r>
        <w:t xml:space="preserve">с федеральным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</w:t>
      </w:r>
      <w:r>
        <w:t>авилах досудебного обжалования решений и действий (бездействия) органов контроля и их должностных лиц;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в судебном порядке по правилам, установленным законодательством Российской Федерации.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17. В уведомлении о применении бюджетных мер принуждения помимо инф</w:t>
      </w:r>
      <w:r>
        <w:t xml:space="preserve">ормации, предусмотренной </w:t>
      </w:r>
      <w:hyperlink r:id="rId9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</w:t>
      </w:r>
      <w:r>
        <w:t>и, указываются объект контроля, тема проверки (ревизии), проверенный период.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</w:t>
      </w:r>
      <w:r>
        <w:t xml:space="preserve">редусмотрены </w:t>
      </w:r>
      <w:hyperlink r:id="rId10" w:history="1">
        <w:r>
          <w:rPr>
            <w:color w:val="0000FF"/>
          </w:rPr>
          <w:t>абзацем третьим статьи 306.2</w:t>
        </w:r>
      </w:hyperlink>
      <w:r>
        <w:t xml:space="preserve"> Бюджетного кодекса Российской Федерации.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По основаниям и в</w:t>
      </w:r>
      <w:r>
        <w:t xml:space="preserve"> порядке, которые предусмотрены </w:t>
      </w:r>
      <w:hyperlink r:id="rId11" w:history="1">
        <w:r>
          <w:rPr>
            <w:color w:val="0000FF"/>
          </w:rPr>
          <w:t>абзацем четвертым пункта 5 статьи 306.2</w:t>
        </w:r>
      </w:hyperlink>
      <w:r>
        <w:t xml:space="preserve"> Бюджетного кодекса Российско</w:t>
      </w:r>
      <w:r>
        <w:t>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</w:t>
      </w:r>
      <w:r>
        <w:t xml:space="preserve">джетным фондом информации, предусмотренной </w:t>
      </w:r>
      <w:hyperlink r:id="rId12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</w:t>
      </w:r>
      <w:r>
        <w:t>оссийской Федерации, указание на объект контроля, тему проверки (ревизии), проверенный период.</w:t>
      </w:r>
    </w:p>
    <w:p w:rsidR="00000000" w:rsidRDefault="00F7031A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703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703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18 </w:t>
            </w:r>
            <w:hyperlink w:anchor="Par1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000000" w:rsidRDefault="00F7031A">
      <w:pPr>
        <w:pStyle w:val="ConsPlusNormal"/>
        <w:spacing w:before="200"/>
        <w:ind w:firstLine="540"/>
        <w:jc w:val="both"/>
      </w:pPr>
      <w:bookmarkStart w:id="2" w:name="Par91"/>
      <w:bookmarkEnd w:id="2"/>
      <w:r>
        <w:t>18. Формы представления, предписания и уведомления о применен</w:t>
      </w:r>
      <w:r>
        <w:t>ии бюджетных мер принуждения устанавливаются Министерством финансов Российской Федерации.</w:t>
      </w:r>
    </w:p>
    <w:p w:rsidR="00000000" w:rsidRDefault="00F7031A">
      <w:pPr>
        <w:pStyle w:val="ConsPlusNormal"/>
        <w:ind w:firstLine="540"/>
        <w:jc w:val="both"/>
      </w:pPr>
    </w:p>
    <w:p w:rsidR="00000000" w:rsidRDefault="00F7031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Продление срока исполнения представления, предписания</w:t>
      </w:r>
    </w:p>
    <w:p w:rsidR="00000000" w:rsidRDefault="00F7031A">
      <w:pPr>
        <w:pStyle w:val="ConsPlusNormal"/>
        <w:jc w:val="center"/>
      </w:pPr>
    </w:p>
    <w:p w:rsidR="00000000" w:rsidRDefault="00F7031A">
      <w:pPr>
        <w:pStyle w:val="ConsPlusNormal"/>
        <w:ind w:firstLine="540"/>
        <w:jc w:val="both"/>
      </w:pPr>
      <w:r>
        <w:t>19. Решение о продлении срока исполнения представления (предписания) принимается однократно на основан</w:t>
      </w:r>
      <w:r>
        <w:t>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</w:t>
      </w:r>
      <w:r>
        <w:t xml:space="preserve"> приложением заверенных в установленном порядке документов (материалов), подтверждающих наступление обстоятельств, в том числе: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lastRenderedPageBreak/>
        <w:t>осуществление объектом контроля претензионно-исковой работы в целях исполнения представления (предписания);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проведение реорганиз</w:t>
      </w:r>
      <w:r>
        <w:t>ации объекта контроля;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 xml:space="preserve">рассмотрение жалобы объекта контроля (его уполномоченного представителя) в соответствии с федеральным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</w:t>
      </w:r>
      <w:r>
        <w:t>олжностных лиц;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>20. Обращение, содержащее основания для продления срока испо</w:t>
      </w:r>
      <w:r>
        <w:t>лнения представления (предписания), может быть направлено органу контроля не позднее чем за 10 рабочих дней до окончания срока исполнения представления (предписания).</w:t>
      </w:r>
    </w:p>
    <w:p w:rsidR="00000000" w:rsidRDefault="00F7031A">
      <w:pPr>
        <w:pStyle w:val="ConsPlusNormal"/>
        <w:spacing w:before="160"/>
        <w:ind w:firstLine="540"/>
        <w:jc w:val="both"/>
      </w:pPr>
      <w:bookmarkStart w:id="3" w:name="Par101"/>
      <w:bookmarkEnd w:id="3"/>
      <w:r>
        <w:t>21. Решение руководителя (заместителя руководителя) органа контроля о продлен</w:t>
      </w:r>
      <w:r>
        <w:t>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</w:t>
      </w:r>
      <w:r>
        <w:t>их дней со дня поступления соответствующего обращения.</w:t>
      </w:r>
    </w:p>
    <w:p w:rsidR="00000000" w:rsidRDefault="00F7031A">
      <w:pPr>
        <w:pStyle w:val="ConsPlusNormal"/>
        <w:spacing w:before="160"/>
        <w:ind w:firstLine="540"/>
        <w:jc w:val="both"/>
      </w:pPr>
      <w:r>
        <w:t xml:space="preserve">22. Орган контроля уведомляет объект контроля о решении, принятом в соответствии с </w:t>
      </w:r>
      <w:hyperlink w:anchor="Par101" w:history="1">
        <w:r>
          <w:rPr>
            <w:color w:val="0000FF"/>
          </w:rPr>
          <w:t>пунктом 21</w:t>
        </w:r>
      </w:hyperlink>
      <w:r>
        <w:t xml:space="preserve"> стандарта, не позднее дня, следующего за днем принятия указанного решения.</w:t>
      </w:r>
    </w:p>
    <w:p w:rsidR="00000000" w:rsidRDefault="00F7031A">
      <w:pPr>
        <w:pStyle w:val="ConsPlusNormal"/>
        <w:ind w:firstLine="540"/>
        <w:jc w:val="both"/>
      </w:pPr>
    </w:p>
    <w:p w:rsidR="00000000" w:rsidRDefault="00F7031A">
      <w:pPr>
        <w:pStyle w:val="ConsPlusNormal"/>
        <w:ind w:firstLine="540"/>
        <w:jc w:val="both"/>
      </w:pPr>
    </w:p>
    <w:p w:rsidR="00F7031A" w:rsidRDefault="00F703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7031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631CDA"/>
    <w:rsid w:val="00631CDA"/>
    <w:rsid w:val="00F7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A4E085F3F46A42FDD4538D74FE2C81438501B4D42B20BE96C2BC3AFC339A90BC11FB57238640036F8FC23C41FED59107671CCD249B017MBJCJ" TargetMode="External"/><Relationship Id="rId13" Type="http://schemas.openxmlformats.org/officeDocument/2006/relationships/hyperlink" Target="consultantplus://offline/ref=6BCA4E085F3F46A42FDD4538D74FE2C81438501B4D42B20BE96C2BC3AFC339A90BC11FB57238640036F8FC23C41FED59107671CCD249B017MBJ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CA4E085F3F46A42FDD4538D74FE2C81439501D4548B20BE96C2BC3AFC339A90BC11FB17A3B630A62A2EC278D4BE646176A6ECCCC49MBJ0J" TargetMode="External"/><Relationship Id="rId12" Type="http://schemas.openxmlformats.org/officeDocument/2006/relationships/hyperlink" Target="consultantplus://offline/ref=6BCA4E085F3F46A42FDD4538D74FE2C81439501D4548B20BE96C2BC3AFC339A90BC11FB07B31600A62A2EC278D4BE646176A6ECCCC49MBJ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A4E085F3F46A42FDD4538D74FE2C81439501D4548B20BE96C2BC3AFC339A90BC11FB17A3B600A62A2EC278D4BE646176A6ECCCC49MBJ0J" TargetMode="External"/><Relationship Id="rId11" Type="http://schemas.openxmlformats.org/officeDocument/2006/relationships/hyperlink" Target="consultantplus://offline/ref=6BCA4E085F3F46A42FDD4538D74FE2C81439501D4548B20BE96C2BC3AFC339A90BC11FB07B31630A62A2EC278D4BE646176A6ECCCC49MBJ0J" TargetMode="External"/><Relationship Id="rId5" Type="http://schemas.openxmlformats.org/officeDocument/2006/relationships/hyperlink" Target="consultantplus://offline/ref=6BCA4E085F3F46A42FDD4538D74FE2C81439501D4548B20BE96C2BC3AFC339A90BC11FB17A38660A62A2EC278D4BE646176A6ECCCC49MBJ0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CA4E085F3F46A42FDD4538D74FE2C81439501D4548B20BE96C2BC3AFC339A90BC11FB07B31620A62A2EC278D4BE646176A6ECCCC49MBJ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CA4E085F3F46A42FDD4538D74FE2C81439501D4548B20BE96C2BC3AFC339A90BC11FB07B31600A62A2EC278D4BE646176A6ECCCC49MBJ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2485</Words>
  <Characters>14171</Characters>
  <Application>Microsoft Office Word</Application>
  <DocSecurity>2</DocSecurity>
  <Lines>118</Lines>
  <Paragraphs>33</Paragraphs>
  <ScaleCrop>false</ScaleCrop>
  <Company>КонсультантПлюс Версия 4020.00.28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23.07.2020 N 1095"Об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</dc:title>
  <dc:creator>Пользователь Windows</dc:creator>
  <cp:lastModifiedBy>Пользователь Windows</cp:lastModifiedBy>
  <cp:revision>2</cp:revision>
  <dcterms:created xsi:type="dcterms:W3CDTF">2020-12-16T09:10:00Z</dcterms:created>
  <dcterms:modified xsi:type="dcterms:W3CDTF">2020-12-16T09:10:00Z</dcterms:modified>
</cp:coreProperties>
</file>